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2BD9C" w14:textId="77B18217" w:rsidR="00264890" w:rsidRPr="004E7C9E" w:rsidRDefault="0080099C" w:rsidP="004E7C9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Times New Roman" w:hAnsi="Times New Roman" w:cs="Times New Roman"/>
          <w:b/>
        </w:rPr>
      </w:pPr>
      <w:bookmarkStart w:id="0" w:name="_GoBack"/>
      <w:bookmarkEnd w:id="0"/>
      <w:r>
        <w:rPr>
          <w:rFonts w:ascii="Times New Roman" w:hAnsi="Times New Roman" w:cs="Times New Roman"/>
          <w:b/>
        </w:rPr>
        <w:t xml:space="preserve">LA MÉMOIRE, </w:t>
      </w:r>
      <w:r w:rsidR="004C16A2">
        <w:rPr>
          <w:rFonts w:ascii="Times New Roman" w:hAnsi="Times New Roman" w:cs="Times New Roman"/>
          <w:b/>
        </w:rPr>
        <w:t xml:space="preserve">LE DROIT, </w:t>
      </w:r>
      <w:r w:rsidR="00D52C11">
        <w:rPr>
          <w:rFonts w:ascii="Times New Roman" w:hAnsi="Times New Roman" w:cs="Times New Roman"/>
          <w:b/>
        </w:rPr>
        <w:t>L’OUBLI</w:t>
      </w:r>
    </w:p>
    <w:p w14:paraId="0F7CDA87" w14:textId="77777777" w:rsidR="004E7C9E" w:rsidRDefault="004E7C9E" w:rsidP="004E7C9E">
      <w:pPr>
        <w:spacing w:after="120"/>
        <w:jc w:val="both"/>
        <w:rPr>
          <w:rFonts w:ascii="Times New Roman" w:hAnsi="Times New Roman" w:cs="Times New Roman"/>
          <w:color w:val="000000" w:themeColor="text1"/>
        </w:rPr>
      </w:pPr>
    </w:p>
    <w:p w14:paraId="710C47A4" w14:textId="0C169251" w:rsidR="00187FAC" w:rsidRDefault="00F07815" w:rsidP="004E7C9E">
      <w:pPr>
        <w:spacing w:after="120"/>
        <w:ind w:firstLine="708"/>
        <w:jc w:val="both"/>
        <w:rPr>
          <w:rFonts w:ascii="Times New Roman" w:hAnsi="Times New Roman" w:cs="Times New Roman"/>
          <w:color w:val="000000" w:themeColor="text1"/>
        </w:rPr>
      </w:pPr>
      <w:r w:rsidRPr="004E7C9E">
        <w:rPr>
          <w:rFonts w:ascii="Times New Roman" w:hAnsi="Times New Roman" w:cs="Times New Roman"/>
          <w:color w:val="000000" w:themeColor="text1"/>
        </w:rPr>
        <w:t xml:space="preserve">La mémoire est la faculté comparable à un champ mental dans lequel les souvenirs, proches ou lointains, sont enregistrés, conservés et restitués. </w:t>
      </w:r>
      <w:r w:rsidR="0048352F">
        <w:rPr>
          <w:rFonts w:ascii="Times New Roman" w:hAnsi="Times New Roman" w:cs="Times New Roman"/>
          <w:color w:val="000000" w:themeColor="text1"/>
        </w:rPr>
        <w:t>Elle possède ainsi</w:t>
      </w:r>
      <w:r w:rsidRPr="004E7C9E">
        <w:rPr>
          <w:rFonts w:ascii="Times New Roman" w:hAnsi="Times New Roman" w:cs="Times New Roman"/>
          <w:color w:val="000000" w:themeColor="text1"/>
        </w:rPr>
        <w:t xml:space="preserve"> deux corolaires</w:t>
      </w:r>
      <w:r w:rsidR="004C16A2">
        <w:rPr>
          <w:rFonts w:ascii="Times New Roman" w:hAnsi="Times New Roman" w:cs="Times New Roman"/>
          <w:color w:val="000000" w:themeColor="text1"/>
        </w:rPr>
        <w:t xml:space="preserve"> : </w:t>
      </w:r>
      <w:r w:rsidRPr="004E7C9E">
        <w:rPr>
          <w:rFonts w:ascii="Times New Roman" w:hAnsi="Times New Roman" w:cs="Times New Roman"/>
          <w:color w:val="000000" w:themeColor="text1"/>
        </w:rPr>
        <w:t>le souvenir et l’oubli. Le souvenir est toutefois une simple restitution, souvent inexacte car il est l’expression d’une perception subjective, égaleme</w:t>
      </w:r>
      <w:r w:rsidR="009632F5">
        <w:rPr>
          <w:rFonts w:ascii="Times New Roman" w:hAnsi="Times New Roman" w:cs="Times New Roman"/>
          <w:color w:val="000000" w:themeColor="text1"/>
        </w:rPr>
        <w:t>nt soumise à l’aléa de l’oubli.</w:t>
      </w:r>
      <w:r w:rsidR="004C16A2">
        <w:rPr>
          <w:rFonts w:ascii="Times New Roman" w:hAnsi="Times New Roman" w:cs="Times New Roman"/>
          <w:color w:val="000000" w:themeColor="text1"/>
        </w:rPr>
        <w:t xml:space="preserve"> Suivant cette constatation, toujours observable, la mémoire est un objet d’étude fréquemment abordé par les historiens et les philosophes, tels Pierre Nora et ses fameux </w:t>
      </w:r>
      <w:r w:rsidR="004C16A2" w:rsidRPr="004C16A2">
        <w:rPr>
          <w:rFonts w:ascii="Times New Roman" w:hAnsi="Times New Roman" w:cs="Times New Roman"/>
          <w:i/>
          <w:color w:val="000000" w:themeColor="text1"/>
        </w:rPr>
        <w:t>Lieux de mémoire</w:t>
      </w:r>
      <w:r w:rsidR="004C16A2">
        <w:rPr>
          <w:rFonts w:ascii="Times New Roman" w:hAnsi="Times New Roman" w:cs="Times New Roman"/>
          <w:color w:val="000000" w:themeColor="text1"/>
        </w:rPr>
        <w:t xml:space="preserve"> ou Paul Ricœur avec son ouvrage de référence </w:t>
      </w:r>
      <w:r w:rsidR="004C16A2" w:rsidRPr="004C16A2">
        <w:rPr>
          <w:rFonts w:ascii="Times New Roman" w:hAnsi="Times New Roman" w:cs="Times New Roman"/>
          <w:i/>
          <w:color w:val="000000" w:themeColor="text1"/>
        </w:rPr>
        <w:t>La mémoire, l’histoire, l’oubli</w:t>
      </w:r>
      <w:r w:rsidR="004C16A2">
        <w:rPr>
          <w:rFonts w:ascii="Times New Roman" w:hAnsi="Times New Roman" w:cs="Times New Roman"/>
          <w:color w:val="000000" w:themeColor="text1"/>
        </w:rPr>
        <w:t>. Les juristes s’emparent dorénavant, eux aussi, du thème de la mémoire, comme l’atteste</w:t>
      </w:r>
      <w:r w:rsidR="00B57CAE">
        <w:rPr>
          <w:rFonts w:ascii="Times New Roman" w:hAnsi="Times New Roman" w:cs="Times New Roman"/>
          <w:color w:val="000000" w:themeColor="text1"/>
        </w:rPr>
        <w:t>nt</w:t>
      </w:r>
      <w:r w:rsidR="004C16A2">
        <w:rPr>
          <w:rFonts w:ascii="Times New Roman" w:hAnsi="Times New Roman" w:cs="Times New Roman"/>
          <w:color w:val="000000" w:themeColor="text1"/>
        </w:rPr>
        <w:t xml:space="preserve"> les thèses récentes de </w:t>
      </w:r>
      <w:proofErr w:type="spellStart"/>
      <w:r w:rsidR="004C16A2">
        <w:rPr>
          <w:rFonts w:ascii="Times New Roman" w:hAnsi="Times New Roman" w:cs="Times New Roman"/>
          <w:color w:val="000000" w:themeColor="text1"/>
        </w:rPr>
        <w:t>Ariana</w:t>
      </w:r>
      <w:proofErr w:type="spellEnd"/>
      <w:r w:rsidR="004C16A2">
        <w:rPr>
          <w:rFonts w:ascii="Times New Roman" w:hAnsi="Times New Roman" w:cs="Times New Roman"/>
          <w:color w:val="000000" w:themeColor="text1"/>
        </w:rPr>
        <w:t xml:space="preserve"> </w:t>
      </w:r>
      <w:proofErr w:type="spellStart"/>
      <w:r w:rsidR="004C16A2">
        <w:rPr>
          <w:rFonts w:ascii="Times New Roman" w:hAnsi="Times New Roman" w:cs="Times New Roman"/>
          <w:color w:val="000000" w:themeColor="text1"/>
        </w:rPr>
        <w:t>Macaya</w:t>
      </w:r>
      <w:proofErr w:type="spellEnd"/>
      <w:r w:rsidR="004C16A2">
        <w:rPr>
          <w:rFonts w:ascii="Times New Roman" w:hAnsi="Times New Roman" w:cs="Times New Roman"/>
          <w:color w:val="000000" w:themeColor="text1"/>
        </w:rPr>
        <w:t xml:space="preserve"> </w:t>
      </w:r>
      <w:proofErr w:type="spellStart"/>
      <w:r w:rsidR="004C16A2">
        <w:rPr>
          <w:rFonts w:ascii="Times New Roman" w:hAnsi="Times New Roman" w:cs="Times New Roman"/>
          <w:color w:val="000000" w:themeColor="text1"/>
        </w:rPr>
        <w:t>Lizano</w:t>
      </w:r>
      <w:proofErr w:type="spellEnd"/>
      <w:r w:rsidR="004C16A2">
        <w:rPr>
          <w:rFonts w:ascii="Times New Roman" w:hAnsi="Times New Roman" w:cs="Times New Roman"/>
          <w:color w:val="000000" w:themeColor="text1"/>
        </w:rPr>
        <w:t xml:space="preserve">, </w:t>
      </w:r>
      <w:r w:rsidR="004C16A2" w:rsidRPr="004C16A2">
        <w:rPr>
          <w:rFonts w:ascii="Times New Roman" w:hAnsi="Times New Roman" w:cs="Times New Roman"/>
          <w:i/>
          <w:color w:val="000000" w:themeColor="text1"/>
        </w:rPr>
        <w:t>Histoire, mémoire et droit : les usages juridiques du passé</w:t>
      </w:r>
      <w:r w:rsidR="004C16A2">
        <w:rPr>
          <w:rFonts w:ascii="Times New Roman" w:hAnsi="Times New Roman" w:cs="Times New Roman"/>
          <w:color w:val="000000" w:themeColor="text1"/>
        </w:rPr>
        <w:t xml:space="preserve">, et de Sandrine </w:t>
      </w:r>
      <w:proofErr w:type="spellStart"/>
      <w:r w:rsidR="004C16A2">
        <w:rPr>
          <w:rFonts w:ascii="Times New Roman" w:hAnsi="Times New Roman" w:cs="Times New Roman"/>
          <w:color w:val="000000" w:themeColor="text1"/>
        </w:rPr>
        <w:t>Carneroli</w:t>
      </w:r>
      <w:proofErr w:type="spellEnd"/>
      <w:r w:rsidR="004C16A2">
        <w:rPr>
          <w:rFonts w:ascii="Times New Roman" w:hAnsi="Times New Roman" w:cs="Times New Roman"/>
          <w:color w:val="000000" w:themeColor="text1"/>
        </w:rPr>
        <w:t xml:space="preserve">, </w:t>
      </w:r>
      <w:r w:rsidR="004C16A2" w:rsidRPr="004C16A2">
        <w:rPr>
          <w:rFonts w:ascii="Times New Roman" w:hAnsi="Times New Roman" w:cs="Times New Roman"/>
          <w:i/>
          <w:color w:val="000000" w:themeColor="text1"/>
        </w:rPr>
        <w:t>Le droit à l’oubli</w:t>
      </w:r>
      <w:r w:rsidR="004C16A2">
        <w:rPr>
          <w:rFonts w:ascii="Times New Roman" w:hAnsi="Times New Roman" w:cs="Times New Roman"/>
          <w:color w:val="000000" w:themeColor="text1"/>
        </w:rPr>
        <w:t>. En s’inscrivant dans cette filiation, demeure néanmoins un large champ d’étude à explorer.</w:t>
      </w:r>
    </w:p>
    <w:p w14:paraId="2DB90AAB" w14:textId="77777777" w:rsidR="004E7C9E" w:rsidRDefault="004E7C9E" w:rsidP="004E7C9E">
      <w:pPr>
        <w:spacing w:after="120"/>
        <w:jc w:val="both"/>
        <w:rPr>
          <w:rFonts w:ascii="Times New Roman" w:hAnsi="Times New Roman" w:cs="Times New Roman"/>
          <w:color w:val="000000" w:themeColor="text1"/>
        </w:rPr>
      </w:pPr>
    </w:p>
    <w:p w14:paraId="79E0D11F" w14:textId="1B101ADB" w:rsidR="004C16A2" w:rsidRPr="004E7C9E" w:rsidRDefault="004C16A2" w:rsidP="004C16A2">
      <w:pPr>
        <w:pBdr>
          <w:bottom w:val="single" w:sz="4" w:space="1" w:color="auto"/>
        </w:pBdr>
        <w:spacing w:after="120"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t>Premier</w:t>
      </w:r>
      <w:r w:rsidRPr="004E7C9E">
        <w:rPr>
          <w:rFonts w:ascii="Times New Roman" w:hAnsi="Times New Roman" w:cs="Times New Roman"/>
          <w:b/>
          <w:color w:val="000000" w:themeColor="text1"/>
        </w:rPr>
        <w:t xml:space="preserve"> axe : Le sens de la mémoire</w:t>
      </w:r>
    </w:p>
    <w:p w14:paraId="40C37A30" w14:textId="77777777" w:rsidR="004C16A2" w:rsidRPr="004E7C9E" w:rsidRDefault="004C16A2" w:rsidP="004C16A2">
      <w:pPr>
        <w:spacing w:after="120"/>
        <w:ind w:firstLine="708"/>
        <w:jc w:val="both"/>
        <w:rPr>
          <w:rFonts w:ascii="Times New Roman" w:hAnsi="Times New Roman" w:cs="Times New Roman"/>
          <w:color w:val="000000" w:themeColor="text1"/>
        </w:rPr>
      </w:pPr>
      <w:r w:rsidRPr="004E7C9E">
        <w:rPr>
          <w:rFonts w:ascii="Times New Roman" w:hAnsi="Times New Roman" w:cs="Times New Roman"/>
          <w:color w:val="000000" w:themeColor="text1"/>
        </w:rPr>
        <w:t xml:space="preserve">L’axe consacré au sens de la mémoire interroge simultanément deux tendances : la direction et la signification de la mémoire. L’axe théorique vise à interroger le champ juridique dans lequel opère la mémoire. Ce champ n’est pas nécessairement juridique </w:t>
      </w:r>
      <w:r w:rsidRPr="004E7C9E">
        <w:rPr>
          <w:rFonts w:ascii="Times New Roman" w:hAnsi="Times New Roman" w:cs="Times New Roman"/>
          <w:i/>
          <w:color w:val="000000" w:themeColor="text1"/>
        </w:rPr>
        <w:t xml:space="preserve">a priori </w:t>
      </w:r>
      <w:r w:rsidRPr="004E7C9E">
        <w:rPr>
          <w:rFonts w:ascii="Times New Roman" w:hAnsi="Times New Roman" w:cs="Times New Roman"/>
          <w:color w:val="000000" w:themeColor="text1"/>
        </w:rPr>
        <w:t>mais il acquiert avec l’opération de translation juridique</w:t>
      </w:r>
      <w:r w:rsidRPr="004E7C9E">
        <w:rPr>
          <w:rFonts w:ascii="Times New Roman" w:hAnsi="Times New Roman" w:cs="Times New Roman"/>
          <w:i/>
          <w:color w:val="000000" w:themeColor="text1"/>
        </w:rPr>
        <w:t xml:space="preserve"> </w:t>
      </w:r>
      <w:r w:rsidRPr="004E7C9E">
        <w:rPr>
          <w:rFonts w:ascii="Times New Roman" w:hAnsi="Times New Roman" w:cs="Times New Roman"/>
          <w:color w:val="000000" w:themeColor="text1"/>
        </w:rPr>
        <w:t>une signification et une d</w:t>
      </w:r>
      <w:r>
        <w:rPr>
          <w:rFonts w:ascii="Times New Roman" w:hAnsi="Times New Roman" w:cs="Times New Roman"/>
          <w:color w:val="000000" w:themeColor="text1"/>
        </w:rPr>
        <w:t xml:space="preserve">irection proprement juridiques, </w:t>
      </w:r>
      <w:r w:rsidRPr="004E7C9E">
        <w:rPr>
          <w:rFonts w:ascii="Times New Roman" w:hAnsi="Times New Roman" w:cs="Times New Roman"/>
          <w:color w:val="000000" w:themeColor="text1"/>
        </w:rPr>
        <w:t>de la « </w:t>
      </w:r>
      <w:r w:rsidRPr="004E7C9E">
        <w:rPr>
          <w:rFonts w:ascii="Times New Roman" w:hAnsi="Times New Roman" w:cs="Times New Roman"/>
          <w:i/>
          <w:color w:val="000000" w:themeColor="text1"/>
        </w:rPr>
        <w:t>normalité physique à la normativité juridique</w:t>
      </w:r>
      <w:r w:rsidRPr="004E7C9E">
        <w:rPr>
          <w:rFonts w:ascii="Times New Roman" w:hAnsi="Times New Roman" w:cs="Times New Roman"/>
          <w:color w:val="000000" w:themeColor="text1"/>
        </w:rPr>
        <w:t xml:space="preserve"> ». </w:t>
      </w:r>
    </w:p>
    <w:p w14:paraId="26335AE1" w14:textId="77777777" w:rsidR="004C16A2" w:rsidRDefault="004C16A2" w:rsidP="004C16A2">
      <w:pPr>
        <w:spacing w:after="120"/>
        <w:ind w:firstLine="708"/>
        <w:jc w:val="both"/>
        <w:rPr>
          <w:rFonts w:ascii="Times New Roman" w:hAnsi="Times New Roman" w:cs="Times New Roman"/>
          <w:color w:val="000000" w:themeColor="text1"/>
        </w:rPr>
      </w:pPr>
      <w:r w:rsidRPr="004E7C9E">
        <w:rPr>
          <w:rFonts w:ascii="Times New Roman" w:hAnsi="Times New Roman" w:cs="Times New Roman"/>
          <w:color w:val="000000" w:themeColor="text1"/>
        </w:rPr>
        <w:t>Tout d’abord, la signification dirige la pensée vers les éléments de reconnaissance d’un objet. Le fait physique, social est doté de caractères qui, dans l’opération de translation, perdent en partie leur véracité intrinsèque pour constituer une nouvelle vérité juridiquement validée. Signifier, c’est aussi donner de l’importance. Lorsqu’il traduit le fait en norme, le droit porte son attention</w:t>
      </w:r>
      <w:r>
        <w:rPr>
          <w:rFonts w:ascii="Times New Roman" w:hAnsi="Times New Roman" w:cs="Times New Roman"/>
          <w:color w:val="000000" w:themeColor="text1"/>
        </w:rPr>
        <w:t xml:space="preserve"> sur certains traits saillants, </w:t>
      </w:r>
      <w:r w:rsidRPr="004E7C9E">
        <w:rPr>
          <w:rFonts w:ascii="Times New Roman" w:hAnsi="Times New Roman" w:cs="Times New Roman"/>
          <w:color w:val="000000" w:themeColor="text1"/>
        </w:rPr>
        <w:t xml:space="preserve">donc sélectionne. La torsion du réel ainsi imprimée par la « mémoire » comme outil juridique permet de saisir une première portion du champ juridique dans lequel opère la mémoire : l’impression d’une certaine vérité sur le tissu des actes juridiques </w:t>
      </w:r>
      <w:r w:rsidRPr="004E7C9E">
        <w:rPr>
          <w:rFonts w:ascii="Times New Roman" w:hAnsi="Times New Roman" w:cs="Times New Roman"/>
          <w:i/>
          <w:color w:val="000000" w:themeColor="text1"/>
        </w:rPr>
        <w:t>lato sensu.</w:t>
      </w:r>
      <w:r w:rsidRPr="004E7C9E">
        <w:rPr>
          <w:rFonts w:ascii="Times New Roman" w:hAnsi="Times New Roman" w:cs="Times New Roman"/>
          <w:color w:val="000000" w:themeColor="text1"/>
        </w:rPr>
        <w:t xml:space="preserve"> Il s’agit encore à ce stade de la mémoire </w:t>
      </w:r>
      <w:r>
        <w:rPr>
          <w:rFonts w:ascii="Times New Roman" w:hAnsi="Times New Roman" w:cs="Times New Roman"/>
          <w:color w:val="000000" w:themeColor="text1"/>
        </w:rPr>
        <w:t>comme appréhension du</w:t>
      </w:r>
      <w:r w:rsidRPr="004E7C9E">
        <w:rPr>
          <w:rFonts w:ascii="Times New Roman" w:hAnsi="Times New Roman" w:cs="Times New Roman"/>
          <w:color w:val="000000" w:themeColor="text1"/>
        </w:rPr>
        <w:t xml:space="preserve"> fait historique. </w:t>
      </w:r>
    </w:p>
    <w:p w14:paraId="1B32429B" w14:textId="77777777" w:rsidR="004C16A2" w:rsidRDefault="004C16A2" w:rsidP="004C16A2">
      <w:pPr>
        <w:spacing w:after="120"/>
        <w:ind w:firstLine="708"/>
        <w:jc w:val="both"/>
        <w:rPr>
          <w:rFonts w:ascii="Times New Roman" w:hAnsi="Times New Roman" w:cs="Times New Roman"/>
          <w:color w:val="000000" w:themeColor="text1"/>
        </w:rPr>
      </w:pPr>
      <w:r w:rsidRPr="004E7C9E">
        <w:rPr>
          <w:rFonts w:ascii="Times New Roman" w:hAnsi="Times New Roman" w:cs="Times New Roman"/>
          <w:color w:val="000000" w:themeColor="text1"/>
        </w:rPr>
        <w:t xml:space="preserve">Ensuite, la direction signifie l’orientation, la destinée, la trajectoire tracée. Il est question de la généalogie du droit et la manière dont le droit d’aujourd’hui se construit à partir et en cohérence avec le droit d’hier. La direction questionne donc la technique juridique au service de la mémoire et s’attache donc à l’autorité de chose jugée et la fonction de la jurisprudence dans la trajectoire du droit. Dans quelle mesure le droit positif – actuel et situé – parvient-il à mobiliser sa propre mémoire pour régler des conflits ? Existe-il une mémoire de l’écriture et de l’interprétation du droit ? Quelle forme prend cette mémoire ? La généalogie du droit ainsi abordée vis-à-vis de la mémoire permet de saisir une seconde portion du champ juridique dans lequel opère la mémoire : l’attitude du droit. Il s’agit ici de la mémoire comme méthode de création du droit, indépendamment du phénomène historique. </w:t>
      </w:r>
    </w:p>
    <w:p w14:paraId="7231F81E" w14:textId="77777777" w:rsidR="004C16A2" w:rsidRDefault="004C16A2" w:rsidP="004C16A2">
      <w:pPr>
        <w:spacing w:after="120"/>
        <w:ind w:firstLine="708"/>
        <w:jc w:val="both"/>
        <w:rPr>
          <w:rFonts w:ascii="Times New Roman" w:hAnsi="Times New Roman" w:cs="Times New Roman"/>
          <w:color w:val="000000" w:themeColor="text1"/>
        </w:rPr>
      </w:pPr>
      <w:r w:rsidRPr="004E7C9E">
        <w:rPr>
          <w:rFonts w:ascii="Times New Roman" w:hAnsi="Times New Roman" w:cs="Times New Roman"/>
          <w:color w:val="000000" w:themeColor="text1"/>
        </w:rPr>
        <w:t xml:space="preserve">La question du sens de la mémoire, dirigé par le droit, implique donc une réflexion sur la place de la dimension performative du droit en tant que discours signifiant une action créditée par la normativité de son origine. En outre, c’est l’occasion d’étudier le rôle du droit écrit et de la jurisprudence comme mobilisation d’un précédent ou d’une analogie factuelle au service de la construction d’une normativité renouvelée. C’est enfin l’occasion d’étudier l’harmonisation des mémoires dans les rapports de systèmes et la circulation des mémoires juridiques, des cultures juridiques et des « attentes légitimes » du droit dans un espace juridique intégré comme </w:t>
      </w:r>
      <w:r w:rsidRPr="004E7C9E">
        <w:rPr>
          <w:rFonts w:ascii="Times New Roman" w:hAnsi="Times New Roman" w:cs="Times New Roman"/>
          <w:color w:val="000000" w:themeColor="text1"/>
        </w:rPr>
        <w:lastRenderedPageBreak/>
        <w:t>l’Union européenne. Les notions de confiance légitime et de sécurité juridique alimentent la direction d’une mémoire juridique en cours d’harmonisation. La mémoire est entendue dans cette derni</w:t>
      </w:r>
      <w:r>
        <w:rPr>
          <w:rFonts w:ascii="Times New Roman" w:hAnsi="Times New Roman" w:cs="Times New Roman"/>
          <w:color w:val="000000" w:themeColor="text1"/>
        </w:rPr>
        <w:t xml:space="preserve">ère acception comme méthode de création du droit, comme attitude. </w:t>
      </w:r>
    </w:p>
    <w:p w14:paraId="70F1734A" w14:textId="77777777" w:rsidR="004C16A2" w:rsidRPr="004E7C9E" w:rsidRDefault="004C16A2" w:rsidP="004E7C9E">
      <w:pPr>
        <w:spacing w:after="120"/>
        <w:jc w:val="both"/>
        <w:rPr>
          <w:rFonts w:ascii="Times New Roman" w:hAnsi="Times New Roman" w:cs="Times New Roman"/>
          <w:color w:val="000000" w:themeColor="text1"/>
        </w:rPr>
      </w:pPr>
    </w:p>
    <w:p w14:paraId="33D8FD96" w14:textId="49EBE63D" w:rsidR="004E7C9E" w:rsidRPr="004E7C9E" w:rsidRDefault="004C16A2" w:rsidP="004E7C9E">
      <w:pPr>
        <w:pBdr>
          <w:bottom w:val="single" w:sz="4" w:space="1" w:color="auto"/>
        </w:pBdr>
        <w:spacing w:after="120" w:line="480" w:lineRule="auto"/>
        <w:jc w:val="center"/>
        <w:rPr>
          <w:rFonts w:ascii="Times New Roman" w:hAnsi="Times New Roman" w:cs="Times New Roman"/>
          <w:b/>
        </w:rPr>
      </w:pPr>
      <w:r>
        <w:rPr>
          <w:rFonts w:ascii="Times New Roman" w:hAnsi="Times New Roman" w:cs="Times New Roman"/>
          <w:b/>
        </w:rPr>
        <w:t>Deuxième</w:t>
      </w:r>
      <w:r w:rsidR="004E7C9E" w:rsidRPr="004E7C9E">
        <w:rPr>
          <w:rFonts w:ascii="Times New Roman" w:hAnsi="Times New Roman" w:cs="Times New Roman"/>
          <w:b/>
        </w:rPr>
        <w:t xml:space="preserve"> axe : La personne privée et l’oubli : entre sanction et protection</w:t>
      </w:r>
    </w:p>
    <w:p w14:paraId="7C7A8627" w14:textId="0D61F07D" w:rsidR="004E7C9E" w:rsidRPr="004E7C9E" w:rsidRDefault="004E7C9E" w:rsidP="004E7C9E">
      <w:pPr>
        <w:spacing w:after="120"/>
        <w:ind w:firstLine="708"/>
        <w:jc w:val="both"/>
        <w:rPr>
          <w:rFonts w:ascii="Times New Roman" w:hAnsi="Times New Roman" w:cs="Times New Roman"/>
        </w:rPr>
      </w:pPr>
      <w:r w:rsidRPr="004E7C9E">
        <w:rPr>
          <w:rFonts w:ascii="Times New Roman" w:hAnsi="Times New Roman" w:cs="Times New Roman"/>
        </w:rPr>
        <w:t>Une des composantes de la mémoire, aussi paradoxal que cela puisse paraître, est l’oubli. Quand un régime politique, ou une institution, met en œuvre un travail de réflexion sur son passé, il fait une sélection, plus ou moins volontaire, qui l’amène à retenir un fragment du passé, mais aussi à en occulter une partie. Il serait malavisé de considérer ce dernier point comme une simple omission de la mémoire, comme une notion passive ; au contraire, l’oubli revêt une importance fondamentale d’un point de vue juridique et politique. Choisir de se souvenir ou d’oublier est un moyen pour l’État, par un mécanisme de fiction juridique, d’omettre une réalité, ou de forcer à l’effacer de l’ordre juridique. L’oubli peut alors devenir un outil employé comme bouclier protecteur</w:t>
      </w:r>
      <w:r>
        <w:rPr>
          <w:rFonts w:ascii="Times New Roman" w:hAnsi="Times New Roman" w:cs="Times New Roman"/>
        </w:rPr>
        <w:t xml:space="preserve"> des individus ou glaive brandi</w:t>
      </w:r>
      <w:r w:rsidRPr="004E7C9E">
        <w:rPr>
          <w:rFonts w:ascii="Times New Roman" w:hAnsi="Times New Roman" w:cs="Times New Roman"/>
        </w:rPr>
        <w:t xml:space="preserve"> contre eux.</w:t>
      </w:r>
    </w:p>
    <w:p w14:paraId="03797B36" w14:textId="77777777" w:rsidR="004E7C9E" w:rsidRPr="004E7C9E" w:rsidRDefault="004E7C9E" w:rsidP="004E7C9E">
      <w:pPr>
        <w:spacing w:after="120"/>
        <w:ind w:firstLine="708"/>
        <w:jc w:val="both"/>
        <w:rPr>
          <w:rFonts w:ascii="Times New Roman" w:hAnsi="Times New Roman" w:cs="Times New Roman"/>
        </w:rPr>
      </w:pPr>
      <w:r w:rsidRPr="004E7C9E">
        <w:rPr>
          <w:rFonts w:ascii="Times New Roman" w:hAnsi="Times New Roman" w:cs="Times New Roman"/>
        </w:rPr>
        <w:t>Est-il possible que l’oubli puisse être un bénéfice pour les individus ? Interrogation brûlante, il s’agit pourtant de la position adoptée par certaines associations et une partie de la doctrine, qui essaye de faire reconnaître l’existence d’une forme de droit à l’oubli. Les problématiques sont diverses : un individu ayant été malade peut-il se voir reconnaître la suppression de ses données personnelles en matière de santé ? Quels droits ont les individus à la suppression des données en ligne ? Alors même que cette problématique est posée, elle en appelle naturellement une nouvelle : le refus de l’oubli. S’opposant aux affres du temps, comment le droit peut-il consacrer juridiquement la nécessité de se souvenir ? Le droit peut-il, et doit-il, imposer de ne pas oublier ?</w:t>
      </w:r>
    </w:p>
    <w:p w14:paraId="66786F9A" w14:textId="77777777" w:rsidR="004E7C9E" w:rsidRPr="004E7C9E" w:rsidRDefault="004E7C9E" w:rsidP="004E7C9E">
      <w:pPr>
        <w:spacing w:after="120"/>
        <w:ind w:firstLine="708"/>
        <w:jc w:val="both"/>
        <w:rPr>
          <w:rFonts w:ascii="Times New Roman" w:hAnsi="Times New Roman" w:cs="Times New Roman"/>
        </w:rPr>
      </w:pPr>
      <w:r w:rsidRPr="004E7C9E">
        <w:rPr>
          <w:rFonts w:ascii="Times New Roman" w:hAnsi="Times New Roman" w:cs="Times New Roman"/>
        </w:rPr>
        <w:t>L’oubli se présente également comme un outil de l’arsenal pénal, au service de l’État, de l’ordre public. Formidable outil pour effacer une réalité bien présente, le droit pénal peut alors employer l’oubli contre les individus, avec des justifications diverses. La prescription n’est-elle pas, par la reconnaissance de la dégradation de la qualité de la preuve avec le temps, la consécration de l’oubli pénal ? La mort civile, aujourd’hui disparue de l’éventail des peines, n’est-elle pas l’effacement juridique pur et simple de l’individu condamné ? La réinsertion est-elle une forme d’oubli ? Existe-t-il, au contraire, un souvenir pénal en faveur des individus, comme semble le démontrer l’amnistie ou les réhabilitations en cas d’erreur judiciaire ? L’oubli, ou la négation du passé, est-il condamnable pénalement ?</w:t>
      </w:r>
    </w:p>
    <w:p w14:paraId="6C08C46B" w14:textId="2EDB0602" w:rsidR="00187FAC" w:rsidRPr="004E7C9E" w:rsidRDefault="00187FAC" w:rsidP="004E7C9E">
      <w:pPr>
        <w:spacing w:after="120"/>
        <w:jc w:val="both"/>
        <w:rPr>
          <w:rFonts w:ascii="Times New Roman" w:hAnsi="Times New Roman" w:cs="Times New Roman"/>
        </w:rPr>
      </w:pPr>
    </w:p>
    <w:p w14:paraId="4B76946D" w14:textId="048F98FC" w:rsidR="00187FAC" w:rsidRPr="004E7C9E" w:rsidRDefault="004C16A2" w:rsidP="004E7C9E">
      <w:pPr>
        <w:pBdr>
          <w:bottom w:val="single" w:sz="4" w:space="1" w:color="auto"/>
        </w:pBdr>
        <w:spacing w:after="120" w:line="480" w:lineRule="auto"/>
        <w:jc w:val="center"/>
        <w:rPr>
          <w:rFonts w:ascii="Times New Roman" w:hAnsi="Times New Roman" w:cs="Times New Roman"/>
          <w:b/>
        </w:rPr>
      </w:pPr>
      <w:r>
        <w:rPr>
          <w:rFonts w:ascii="Times New Roman" w:hAnsi="Times New Roman" w:cs="Times New Roman"/>
          <w:b/>
        </w:rPr>
        <w:t>Troisième</w:t>
      </w:r>
      <w:r w:rsidR="00187FAC" w:rsidRPr="004E7C9E">
        <w:rPr>
          <w:rFonts w:ascii="Times New Roman" w:hAnsi="Times New Roman" w:cs="Times New Roman"/>
          <w:b/>
        </w:rPr>
        <w:t xml:space="preserve"> axe : Les formes du souvenir</w:t>
      </w:r>
      <w:r w:rsidR="00825524" w:rsidRPr="004E7C9E">
        <w:rPr>
          <w:rFonts w:ascii="Times New Roman" w:hAnsi="Times New Roman" w:cs="Times New Roman"/>
          <w:b/>
        </w:rPr>
        <w:t xml:space="preserve"> à la charge de la collectivité</w:t>
      </w:r>
    </w:p>
    <w:p w14:paraId="75836F5C" w14:textId="77777777" w:rsidR="004E7C9E" w:rsidRDefault="006E1EAA" w:rsidP="004E7C9E">
      <w:pPr>
        <w:spacing w:after="120"/>
        <w:ind w:firstLine="708"/>
        <w:jc w:val="both"/>
        <w:rPr>
          <w:rFonts w:ascii="Times New Roman" w:hAnsi="Times New Roman" w:cs="Times New Roman"/>
          <w:color w:val="000000" w:themeColor="text1"/>
        </w:rPr>
      </w:pPr>
      <w:r w:rsidRPr="004E7C9E">
        <w:rPr>
          <w:rFonts w:ascii="Times New Roman" w:hAnsi="Times New Roman" w:cs="Times New Roman"/>
          <w:color w:val="000000" w:themeColor="text1"/>
        </w:rPr>
        <w:t xml:space="preserve">Dans une collectivité, le souvenir et l’oubli deviennent des moyens d’établir ou de rétablir la paix sociale. </w:t>
      </w:r>
      <w:r w:rsidR="0036270A" w:rsidRPr="004E7C9E">
        <w:rPr>
          <w:rFonts w:ascii="Times New Roman" w:hAnsi="Times New Roman" w:cs="Times New Roman"/>
          <w:color w:val="000000" w:themeColor="text1"/>
        </w:rPr>
        <w:t>D’une part</w:t>
      </w:r>
      <w:r w:rsidRPr="004E7C9E">
        <w:rPr>
          <w:rFonts w:ascii="Times New Roman" w:hAnsi="Times New Roman" w:cs="Times New Roman"/>
          <w:color w:val="000000" w:themeColor="text1"/>
        </w:rPr>
        <w:t xml:space="preserve">, le mouvement historique </w:t>
      </w:r>
      <w:r w:rsidR="0036270A" w:rsidRPr="004E7C9E">
        <w:rPr>
          <w:rFonts w:ascii="Times New Roman" w:hAnsi="Times New Roman" w:cs="Times New Roman"/>
          <w:color w:val="000000" w:themeColor="text1"/>
        </w:rPr>
        <w:t>peut s’opérer</w:t>
      </w:r>
      <w:r w:rsidRPr="004E7C9E">
        <w:rPr>
          <w:rFonts w:ascii="Times New Roman" w:hAnsi="Times New Roman" w:cs="Times New Roman"/>
          <w:color w:val="000000" w:themeColor="text1"/>
        </w:rPr>
        <w:t xml:space="preserve"> en se fondant sur le rappel des</w:t>
      </w:r>
      <w:r w:rsidR="0036270A" w:rsidRPr="004E7C9E">
        <w:rPr>
          <w:rFonts w:ascii="Times New Roman" w:hAnsi="Times New Roman" w:cs="Times New Roman"/>
          <w:color w:val="000000" w:themeColor="text1"/>
        </w:rPr>
        <w:t xml:space="preserve"> droits fondamentaux, à l’instar de la Déclaration des droits de l’homme et du citoyen de 1789 invoqu</w:t>
      </w:r>
      <w:r w:rsidR="0099151F" w:rsidRPr="004E7C9E">
        <w:rPr>
          <w:rFonts w:ascii="Times New Roman" w:hAnsi="Times New Roman" w:cs="Times New Roman"/>
          <w:color w:val="000000" w:themeColor="text1"/>
        </w:rPr>
        <w:t>ant au profit de la Révolution l</w:t>
      </w:r>
      <w:r w:rsidR="0036270A" w:rsidRPr="004E7C9E">
        <w:rPr>
          <w:rFonts w:ascii="Times New Roman" w:hAnsi="Times New Roman" w:cs="Times New Roman"/>
          <w:color w:val="000000" w:themeColor="text1"/>
        </w:rPr>
        <w:t>es droits naturels oubliés ou méprisés</w:t>
      </w:r>
      <w:r w:rsidRPr="004E7C9E">
        <w:rPr>
          <w:rFonts w:ascii="Times New Roman" w:hAnsi="Times New Roman" w:cs="Times New Roman"/>
          <w:color w:val="000000" w:themeColor="text1"/>
        </w:rPr>
        <w:t xml:space="preserve">. </w:t>
      </w:r>
      <w:r w:rsidR="00825524" w:rsidRPr="004E7C9E">
        <w:rPr>
          <w:rFonts w:ascii="Times New Roman" w:hAnsi="Times New Roman" w:cs="Times New Roman"/>
          <w:color w:val="000000" w:themeColor="text1"/>
        </w:rPr>
        <w:t xml:space="preserve">Tout régime politique s’appuie effectivement sur une légitimité historique. Ce travail de légitimation du pouvoir se trouve déjà dans les discours des prétendus </w:t>
      </w:r>
      <w:r w:rsidR="005B31B2" w:rsidRPr="004E7C9E">
        <w:rPr>
          <w:rFonts w:ascii="Times New Roman" w:hAnsi="Times New Roman" w:cs="Times New Roman"/>
          <w:color w:val="000000" w:themeColor="text1"/>
        </w:rPr>
        <w:t>successeurs de l’Empire romain, dans celui de l</w:t>
      </w:r>
      <w:r w:rsidR="004F7016" w:rsidRPr="004E7C9E">
        <w:rPr>
          <w:rFonts w:ascii="Times New Roman" w:hAnsi="Times New Roman" w:cs="Times New Roman"/>
          <w:color w:val="000000" w:themeColor="text1"/>
        </w:rPr>
        <w:t>a monarchie française</w:t>
      </w:r>
      <w:r w:rsidR="005B31B2" w:rsidRPr="004E7C9E">
        <w:rPr>
          <w:rFonts w:ascii="Times New Roman" w:hAnsi="Times New Roman" w:cs="Times New Roman"/>
          <w:color w:val="000000" w:themeColor="text1"/>
        </w:rPr>
        <w:t xml:space="preserve"> qui</w:t>
      </w:r>
      <w:r w:rsidR="004F7016" w:rsidRPr="004E7C9E">
        <w:rPr>
          <w:rFonts w:ascii="Times New Roman" w:hAnsi="Times New Roman" w:cs="Times New Roman"/>
          <w:color w:val="000000" w:themeColor="text1"/>
        </w:rPr>
        <w:t xml:space="preserve"> s’établit sur la mémoire des</w:t>
      </w:r>
      <w:r w:rsidR="00825524" w:rsidRPr="004E7C9E">
        <w:rPr>
          <w:rFonts w:ascii="Times New Roman" w:hAnsi="Times New Roman" w:cs="Times New Roman"/>
          <w:color w:val="000000" w:themeColor="text1"/>
        </w:rPr>
        <w:t xml:space="preserve"> pratique</w:t>
      </w:r>
      <w:r w:rsidR="004F7016" w:rsidRPr="004E7C9E">
        <w:rPr>
          <w:rFonts w:ascii="Times New Roman" w:hAnsi="Times New Roman" w:cs="Times New Roman"/>
          <w:color w:val="000000" w:themeColor="text1"/>
        </w:rPr>
        <w:t>s</w:t>
      </w:r>
      <w:r w:rsidR="00825524" w:rsidRPr="004E7C9E">
        <w:rPr>
          <w:rFonts w:ascii="Times New Roman" w:hAnsi="Times New Roman" w:cs="Times New Roman"/>
          <w:color w:val="000000" w:themeColor="text1"/>
        </w:rPr>
        <w:t xml:space="preserve"> </w:t>
      </w:r>
      <w:r w:rsidR="004F7016" w:rsidRPr="004E7C9E">
        <w:rPr>
          <w:rFonts w:ascii="Times New Roman" w:hAnsi="Times New Roman" w:cs="Times New Roman"/>
          <w:color w:val="000000" w:themeColor="text1"/>
        </w:rPr>
        <w:t>institutionnelles</w:t>
      </w:r>
      <w:r w:rsidR="00825524" w:rsidRPr="004E7C9E">
        <w:rPr>
          <w:rFonts w:ascii="Times New Roman" w:hAnsi="Times New Roman" w:cs="Times New Roman"/>
          <w:color w:val="000000" w:themeColor="text1"/>
        </w:rPr>
        <w:t xml:space="preserve"> </w:t>
      </w:r>
      <w:r w:rsidR="004F7016" w:rsidRPr="004E7C9E">
        <w:rPr>
          <w:rFonts w:ascii="Times New Roman" w:hAnsi="Times New Roman" w:cs="Times New Roman"/>
          <w:color w:val="000000" w:themeColor="text1"/>
        </w:rPr>
        <w:t>devenues</w:t>
      </w:r>
      <w:r w:rsidR="00825524" w:rsidRPr="004E7C9E">
        <w:rPr>
          <w:rFonts w:ascii="Times New Roman" w:hAnsi="Times New Roman" w:cs="Times New Roman"/>
          <w:color w:val="000000" w:themeColor="text1"/>
        </w:rPr>
        <w:t xml:space="preserve"> lois fondamentales du royaume. Toutefois, la construction d’un nouveau passé permet à l’opposition parlementaire, dès la fin du XVIe siècle, d’asseoir les pouvoirs du Parlement sur le souvenir des plaids de l’époque franque. </w:t>
      </w:r>
      <w:r w:rsidR="005B31B2" w:rsidRPr="004E7C9E">
        <w:rPr>
          <w:rFonts w:ascii="Times New Roman" w:hAnsi="Times New Roman" w:cs="Times New Roman"/>
          <w:color w:val="000000" w:themeColor="text1"/>
        </w:rPr>
        <w:t>Mais</w:t>
      </w:r>
      <w:r w:rsidR="00825524" w:rsidRPr="004E7C9E">
        <w:rPr>
          <w:rFonts w:ascii="Times New Roman" w:hAnsi="Times New Roman" w:cs="Times New Roman"/>
          <w:color w:val="000000" w:themeColor="text1"/>
        </w:rPr>
        <w:t xml:space="preserve"> un droit public existant plusieurs siècles auparavant peut-il toujours être invoqué ? Le droit public meurt-il avec les institutions qui </w:t>
      </w:r>
      <w:r w:rsidR="00825524" w:rsidRPr="004E7C9E">
        <w:rPr>
          <w:rFonts w:ascii="Times New Roman" w:hAnsi="Times New Roman" w:cs="Times New Roman"/>
          <w:color w:val="000000" w:themeColor="text1"/>
        </w:rPr>
        <w:lastRenderedPageBreak/>
        <w:t xml:space="preserve">l’avaient consacré ? De surcroît, comment s’opère la transition institutionnelle ? La justice peut-elle se fonder sur le droit du régime qui vient de s’effondrer ? </w:t>
      </w:r>
      <w:r w:rsidR="00C45EE7" w:rsidRPr="004E7C9E">
        <w:rPr>
          <w:rFonts w:ascii="Times New Roman" w:hAnsi="Times New Roman" w:cs="Times New Roman"/>
          <w:color w:val="000000" w:themeColor="text1"/>
        </w:rPr>
        <w:t>L’exemple de certains pays africains démontrent que</w:t>
      </w:r>
      <w:r w:rsidR="00825524" w:rsidRPr="004E7C9E">
        <w:rPr>
          <w:rFonts w:ascii="Times New Roman" w:hAnsi="Times New Roman" w:cs="Times New Roman"/>
          <w:color w:val="000000" w:themeColor="text1"/>
        </w:rPr>
        <w:t xml:space="preserve"> les tribunaux tribau</w:t>
      </w:r>
      <w:r w:rsidR="00C45EE7" w:rsidRPr="004E7C9E">
        <w:rPr>
          <w:rFonts w:ascii="Times New Roman" w:hAnsi="Times New Roman" w:cs="Times New Roman"/>
          <w:color w:val="000000" w:themeColor="text1"/>
        </w:rPr>
        <w:t>x peuvent encore être acceptés. Ainsi est-ce le cas du Rwanda au sein duquel se concurrencent deux ordres juridictionnels, l’un international (le tribunal pénal international) et l’autre tribal.</w:t>
      </w:r>
    </w:p>
    <w:p w14:paraId="3B0AF0E6" w14:textId="703C27D4" w:rsidR="00492A87" w:rsidRDefault="00E80273" w:rsidP="004E7C9E">
      <w:pPr>
        <w:spacing w:after="120"/>
        <w:ind w:firstLine="708"/>
        <w:jc w:val="both"/>
        <w:rPr>
          <w:rFonts w:ascii="Times New Roman" w:hAnsi="Times New Roman" w:cs="Times New Roman"/>
          <w:color w:val="000000" w:themeColor="text1"/>
        </w:rPr>
      </w:pPr>
      <w:r w:rsidRPr="004E7C9E">
        <w:rPr>
          <w:rFonts w:ascii="Times New Roman" w:hAnsi="Times New Roman" w:cs="Times New Roman"/>
          <w:color w:val="000000" w:themeColor="text1"/>
        </w:rPr>
        <w:t xml:space="preserve">D’autre part, le droit peut proclamer une réalité historique en vertu d’une politique mémorielle de plus en plus étendue. </w:t>
      </w:r>
      <w:r w:rsidR="00F141C9" w:rsidRPr="004E7C9E">
        <w:rPr>
          <w:rFonts w:ascii="Times New Roman" w:hAnsi="Times New Roman" w:cs="Times New Roman"/>
          <w:color w:val="000000" w:themeColor="text1"/>
        </w:rPr>
        <w:t xml:space="preserve">Ces lois cherchent à apaiser les tensions engendrées par un passé douloureux. </w:t>
      </w:r>
      <w:r w:rsidR="003814E1" w:rsidRPr="004E7C9E">
        <w:rPr>
          <w:rFonts w:ascii="Times New Roman" w:hAnsi="Times New Roman" w:cs="Times New Roman"/>
          <w:color w:val="000000" w:themeColor="text1"/>
        </w:rPr>
        <w:t>Toutefois, elles suscitent de nombreuses réactions négatives</w:t>
      </w:r>
      <w:r w:rsidR="00342A6E" w:rsidRPr="004E7C9E">
        <w:rPr>
          <w:rFonts w:ascii="Times New Roman" w:hAnsi="Times New Roman" w:cs="Times New Roman"/>
          <w:color w:val="000000" w:themeColor="text1"/>
        </w:rPr>
        <w:t xml:space="preserve">, comme le démontrent </w:t>
      </w:r>
      <w:r w:rsidR="005B31B2" w:rsidRPr="004E7C9E">
        <w:rPr>
          <w:rFonts w:ascii="Times New Roman" w:hAnsi="Times New Roman" w:cs="Times New Roman"/>
          <w:color w:val="000000" w:themeColor="text1"/>
        </w:rPr>
        <w:t xml:space="preserve">notamment </w:t>
      </w:r>
      <w:r w:rsidR="00342A6E" w:rsidRPr="004E7C9E">
        <w:rPr>
          <w:rFonts w:ascii="Times New Roman" w:hAnsi="Times New Roman" w:cs="Times New Roman"/>
          <w:color w:val="000000" w:themeColor="text1"/>
        </w:rPr>
        <w:t>les débats récents sur la reconnaissance des aspects positifs de la colonisation ou sur la reconnaissance du génocide arménien contestée par l’</w:t>
      </w:r>
      <w:r w:rsidR="000F308B" w:rsidRPr="004E7C9E">
        <w:rPr>
          <w:rFonts w:ascii="Times New Roman" w:hAnsi="Times New Roman" w:cs="Times New Roman"/>
          <w:color w:val="000000" w:themeColor="text1"/>
        </w:rPr>
        <w:t>Etat turc. D</w:t>
      </w:r>
      <w:r w:rsidR="00342A6E" w:rsidRPr="004E7C9E">
        <w:rPr>
          <w:rFonts w:ascii="Times New Roman" w:hAnsi="Times New Roman" w:cs="Times New Roman"/>
          <w:color w:val="000000" w:themeColor="text1"/>
        </w:rPr>
        <w:t>es historiens</w:t>
      </w:r>
      <w:r w:rsidR="000F308B" w:rsidRPr="004E7C9E">
        <w:rPr>
          <w:rFonts w:ascii="Times New Roman" w:hAnsi="Times New Roman" w:cs="Times New Roman"/>
          <w:color w:val="000000" w:themeColor="text1"/>
        </w:rPr>
        <w:t xml:space="preserve"> </w:t>
      </w:r>
      <w:r w:rsidR="00342A6E" w:rsidRPr="004E7C9E">
        <w:rPr>
          <w:rFonts w:ascii="Times New Roman" w:hAnsi="Times New Roman" w:cs="Times New Roman"/>
          <w:color w:val="000000" w:themeColor="text1"/>
        </w:rPr>
        <w:t>remettent en question l’établissement d’une</w:t>
      </w:r>
      <w:r w:rsidR="005B31B2" w:rsidRPr="004E7C9E">
        <w:rPr>
          <w:rFonts w:ascii="Times New Roman" w:hAnsi="Times New Roman" w:cs="Times New Roman"/>
          <w:color w:val="000000" w:themeColor="text1"/>
        </w:rPr>
        <w:t xml:space="preserve"> vérité historique officielle. En effet, c</w:t>
      </w:r>
      <w:r w:rsidR="000F308B" w:rsidRPr="004E7C9E">
        <w:rPr>
          <w:rFonts w:ascii="Times New Roman" w:hAnsi="Times New Roman" w:cs="Times New Roman"/>
          <w:color w:val="000000" w:themeColor="text1"/>
        </w:rPr>
        <w:t xml:space="preserve">ette </w:t>
      </w:r>
      <w:r w:rsidR="00342A6E" w:rsidRPr="004E7C9E">
        <w:rPr>
          <w:rFonts w:ascii="Times New Roman" w:hAnsi="Times New Roman" w:cs="Times New Roman"/>
          <w:color w:val="000000" w:themeColor="text1"/>
        </w:rPr>
        <w:t xml:space="preserve">histoire officielle ne porte-t-elle pas atteinte à liberté d’expression ? A la liberté du chercheur ? </w:t>
      </w:r>
      <w:r w:rsidR="004F2C4A" w:rsidRPr="004E7C9E">
        <w:rPr>
          <w:rFonts w:ascii="Times New Roman" w:hAnsi="Times New Roman" w:cs="Times New Roman"/>
          <w:color w:val="000000" w:themeColor="text1"/>
        </w:rPr>
        <w:t xml:space="preserve">La proclamation par le droit d’une réalité historique </w:t>
      </w:r>
      <w:r w:rsidR="005B31B2" w:rsidRPr="004E7C9E">
        <w:rPr>
          <w:rFonts w:ascii="Times New Roman" w:hAnsi="Times New Roman" w:cs="Times New Roman"/>
          <w:color w:val="000000" w:themeColor="text1"/>
        </w:rPr>
        <w:t>est-elle bien nécessaire pour</w:t>
      </w:r>
      <w:r w:rsidR="004F2C4A" w:rsidRPr="004E7C9E">
        <w:rPr>
          <w:rFonts w:ascii="Times New Roman" w:hAnsi="Times New Roman" w:cs="Times New Roman"/>
          <w:color w:val="000000" w:themeColor="text1"/>
        </w:rPr>
        <w:t xml:space="preserve"> prouver l’existence des faits ? </w:t>
      </w:r>
      <w:r w:rsidR="0099151F" w:rsidRPr="004E7C9E">
        <w:rPr>
          <w:rFonts w:ascii="Times New Roman" w:hAnsi="Times New Roman" w:cs="Times New Roman"/>
          <w:color w:val="000000" w:themeColor="text1"/>
        </w:rPr>
        <w:t>Par ailleurs, l</w:t>
      </w:r>
      <w:r w:rsidR="00825524" w:rsidRPr="004E7C9E">
        <w:rPr>
          <w:rFonts w:ascii="Times New Roman" w:hAnsi="Times New Roman" w:cs="Times New Roman"/>
          <w:color w:val="000000" w:themeColor="text1"/>
        </w:rPr>
        <w:t xml:space="preserve">es régimes totalitaires </w:t>
      </w:r>
      <w:r w:rsidR="0099151F" w:rsidRPr="004E7C9E">
        <w:rPr>
          <w:rFonts w:ascii="Times New Roman" w:hAnsi="Times New Roman" w:cs="Times New Roman"/>
          <w:color w:val="000000" w:themeColor="text1"/>
        </w:rPr>
        <w:t>se plaisaient</w:t>
      </w:r>
      <w:r w:rsidR="00825524" w:rsidRPr="004E7C9E">
        <w:rPr>
          <w:rFonts w:ascii="Times New Roman" w:hAnsi="Times New Roman" w:cs="Times New Roman"/>
          <w:color w:val="000000" w:themeColor="text1"/>
        </w:rPr>
        <w:t xml:space="preserve"> </w:t>
      </w:r>
      <w:r w:rsidR="0099151F" w:rsidRPr="004E7C9E">
        <w:rPr>
          <w:rFonts w:ascii="Times New Roman" w:hAnsi="Times New Roman" w:cs="Times New Roman"/>
          <w:color w:val="000000" w:themeColor="text1"/>
        </w:rPr>
        <w:t>à</w:t>
      </w:r>
      <w:r w:rsidR="00825524" w:rsidRPr="004E7C9E">
        <w:rPr>
          <w:rFonts w:ascii="Times New Roman" w:hAnsi="Times New Roman" w:cs="Times New Roman"/>
          <w:color w:val="000000" w:themeColor="text1"/>
        </w:rPr>
        <w:t xml:space="preserve"> modifier le </w:t>
      </w:r>
      <w:r w:rsidR="0099151F" w:rsidRPr="004E7C9E">
        <w:rPr>
          <w:rFonts w:ascii="Times New Roman" w:hAnsi="Times New Roman" w:cs="Times New Roman"/>
          <w:color w:val="000000" w:themeColor="text1"/>
        </w:rPr>
        <w:t>passé</w:t>
      </w:r>
      <w:r w:rsidR="00825524" w:rsidRPr="004E7C9E">
        <w:rPr>
          <w:rFonts w:ascii="Times New Roman" w:hAnsi="Times New Roman" w:cs="Times New Roman"/>
          <w:color w:val="000000" w:themeColor="text1"/>
        </w:rPr>
        <w:t>.</w:t>
      </w:r>
      <w:r w:rsidR="00C45EE7" w:rsidRPr="004E7C9E">
        <w:rPr>
          <w:rFonts w:ascii="Times New Roman" w:hAnsi="Times New Roman" w:cs="Times New Roman"/>
          <w:color w:val="000000" w:themeColor="text1"/>
        </w:rPr>
        <w:t xml:space="preserve"> </w:t>
      </w:r>
      <w:r w:rsidR="00492A87" w:rsidRPr="004E7C9E">
        <w:rPr>
          <w:rFonts w:ascii="Times New Roman" w:hAnsi="Times New Roman" w:cs="Times New Roman"/>
          <w:color w:val="000000" w:themeColor="text1"/>
        </w:rPr>
        <w:t xml:space="preserve">La manipulation politique </w:t>
      </w:r>
      <w:r w:rsidR="0099151F" w:rsidRPr="004E7C9E">
        <w:rPr>
          <w:rFonts w:ascii="Times New Roman" w:hAnsi="Times New Roman" w:cs="Times New Roman"/>
          <w:color w:val="000000" w:themeColor="text1"/>
        </w:rPr>
        <w:t>de la mémoire</w:t>
      </w:r>
      <w:r w:rsidR="00492A87" w:rsidRPr="004E7C9E">
        <w:rPr>
          <w:rFonts w:ascii="Times New Roman" w:hAnsi="Times New Roman" w:cs="Times New Roman"/>
          <w:color w:val="000000" w:themeColor="text1"/>
        </w:rPr>
        <w:t xml:space="preserve"> atteint son paroxysme avec les </w:t>
      </w:r>
      <w:r w:rsidR="00C2726E" w:rsidRPr="004E7C9E">
        <w:rPr>
          <w:rFonts w:ascii="Times New Roman" w:hAnsi="Times New Roman" w:cs="Times New Roman"/>
          <w:color w:val="000000" w:themeColor="text1"/>
        </w:rPr>
        <w:t>P</w:t>
      </w:r>
      <w:r w:rsidR="00492A87" w:rsidRPr="004E7C9E">
        <w:rPr>
          <w:rFonts w:ascii="Times New Roman" w:hAnsi="Times New Roman" w:cs="Times New Roman"/>
          <w:color w:val="000000" w:themeColor="text1"/>
        </w:rPr>
        <w:t xml:space="preserve">rocès </w:t>
      </w:r>
      <w:r w:rsidR="00C2726E" w:rsidRPr="004E7C9E">
        <w:rPr>
          <w:rFonts w:ascii="Times New Roman" w:hAnsi="Times New Roman" w:cs="Times New Roman"/>
          <w:color w:val="000000" w:themeColor="text1"/>
        </w:rPr>
        <w:t>de Moscou</w:t>
      </w:r>
      <w:r w:rsidR="00492A87" w:rsidRPr="004E7C9E">
        <w:rPr>
          <w:rFonts w:ascii="Times New Roman" w:hAnsi="Times New Roman" w:cs="Times New Roman"/>
          <w:color w:val="000000" w:themeColor="text1"/>
        </w:rPr>
        <w:t xml:space="preserve"> au cours desquels les accusés étaient contraints à formuler de faux aveux qui transformaient les événements au bénéfice du régime </w:t>
      </w:r>
      <w:r w:rsidR="00C2726E" w:rsidRPr="004E7C9E">
        <w:rPr>
          <w:rFonts w:ascii="Times New Roman" w:hAnsi="Times New Roman" w:cs="Times New Roman"/>
          <w:color w:val="000000" w:themeColor="text1"/>
        </w:rPr>
        <w:t>et de son leader</w:t>
      </w:r>
      <w:r w:rsidR="00492A87" w:rsidRPr="004E7C9E">
        <w:rPr>
          <w:rFonts w:ascii="Times New Roman" w:hAnsi="Times New Roman" w:cs="Times New Roman"/>
          <w:color w:val="000000" w:themeColor="text1"/>
        </w:rPr>
        <w:t xml:space="preserve">. </w:t>
      </w:r>
      <w:r w:rsidR="00A811F1" w:rsidRPr="004E7C9E">
        <w:rPr>
          <w:rFonts w:ascii="Times New Roman" w:hAnsi="Times New Roman" w:cs="Times New Roman"/>
          <w:color w:val="000000" w:themeColor="text1"/>
        </w:rPr>
        <w:t>A partir de ces exemples,</w:t>
      </w:r>
      <w:r w:rsidR="00492A87" w:rsidRPr="004E7C9E">
        <w:rPr>
          <w:rFonts w:ascii="Times New Roman" w:hAnsi="Times New Roman" w:cs="Times New Roman"/>
          <w:color w:val="000000" w:themeColor="text1"/>
        </w:rPr>
        <w:t xml:space="preserve"> une série d’interrogations toujours actuelles</w:t>
      </w:r>
      <w:r w:rsidR="00A811F1" w:rsidRPr="004E7C9E">
        <w:rPr>
          <w:rFonts w:ascii="Times New Roman" w:hAnsi="Times New Roman" w:cs="Times New Roman"/>
          <w:color w:val="000000" w:themeColor="text1"/>
        </w:rPr>
        <w:t xml:space="preserve"> peuvent être soulevées</w:t>
      </w:r>
      <w:r w:rsidR="00492A87" w:rsidRPr="004E7C9E">
        <w:rPr>
          <w:rFonts w:ascii="Times New Roman" w:hAnsi="Times New Roman" w:cs="Times New Roman"/>
          <w:color w:val="000000" w:themeColor="text1"/>
        </w:rPr>
        <w:t xml:space="preserve">. La mémoire vise-t-elle le rétablissement de la vérité ou davantage l’établissement d’une vérité ? </w:t>
      </w:r>
      <w:r w:rsidR="00A811F1" w:rsidRPr="004E7C9E">
        <w:rPr>
          <w:rFonts w:ascii="Times New Roman" w:hAnsi="Times New Roman" w:cs="Times New Roman"/>
          <w:color w:val="000000" w:themeColor="text1"/>
        </w:rPr>
        <w:t>Q</w:t>
      </w:r>
      <w:r w:rsidR="00492A87" w:rsidRPr="004E7C9E">
        <w:rPr>
          <w:rFonts w:ascii="Times New Roman" w:hAnsi="Times New Roman" w:cs="Times New Roman"/>
          <w:color w:val="000000" w:themeColor="text1"/>
        </w:rPr>
        <w:t>uel est l’enjeu politique de la restitution de la vérité historique</w:t>
      </w:r>
      <w:r w:rsidR="00241E86" w:rsidRPr="004E7C9E">
        <w:rPr>
          <w:rFonts w:ascii="Times New Roman" w:hAnsi="Times New Roman" w:cs="Times New Roman"/>
          <w:color w:val="000000" w:themeColor="text1"/>
        </w:rPr>
        <w:t xml:space="preserve"> ou de l’institution d’une vérité historique</w:t>
      </w:r>
      <w:r w:rsidR="00492A87" w:rsidRPr="004E7C9E">
        <w:rPr>
          <w:rFonts w:ascii="Times New Roman" w:hAnsi="Times New Roman" w:cs="Times New Roman"/>
          <w:color w:val="000000" w:themeColor="text1"/>
        </w:rPr>
        <w:t> ? La mémoire est-elle inéluctablement enrichie ou appauvrie par une vérité qui serait établie de manière partisane et axiologique ?</w:t>
      </w:r>
    </w:p>
    <w:p w14:paraId="14B49F25" w14:textId="77777777" w:rsidR="004E7C9E" w:rsidRPr="004E7C9E" w:rsidRDefault="004E7C9E" w:rsidP="004C16A2">
      <w:pPr>
        <w:spacing w:after="120"/>
        <w:jc w:val="both"/>
        <w:rPr>
          <w:rFonts w:ascii="Times New Roman" w:hAnsi="Times New Roman" w:cs="Times New Roman"/>
          <w:color w:val="000000" w:themeColor="text1"/>
        </w:rPr>
      </w:pPr>
    </w:p>
    <w:p w14:paraId="241835C7" w14:textId="4BA95C94" w:rsidR="00241E86" w:rsidRPr="004E7C9E" w:rsidRDefault="00241E86" w:rsidP="004E7C9E">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Times New Roman" w:hAnsi="Times New Roman" w:cs="Times New Roman"/>
          <w:b/>
          <w:color w:val="000000" w:themeColor="text1"/>
        </w:rPr>
      </w:pPr>
      <w:r w:rsidRPr="004E7C9E">
        <w:rPr>
          <w:rFonts w:ascii="Times New Roman" w:hAnsi="Times New Roman" w:cs="Times New Roman"/>
          <w:b/>
          <w:color w:val="000000" w:themeColor="text1"/>
        </w:rPr>
        <w:t>Modalités</w:t>
      </w:r>
    </w:p>
    <w:p w14:paraId="41B449B0" w14:textId="77777777" w:rsidR="004C16A2" w:rsidRDefault="004C16A2" w:rsidP="004E7C9E">
      <w:pPr>
        <w:spacing w:after="120"/>
        <w:jc w:val="both"/>
        <w:rPr>
          <w:rFonts w:ascii="Times New Roman" w:hAnsi="Times New Roman" w:cs="Times New Roman"/>
          <w:color w:val="000000" w:themeColor="text1"/>
        </w:rPr>
      </w:pPr>
    </w:p>
    <w:p w14:paraId="1182673A" w14:textId="1A26F268" w:rsidR="00F40A53" w:rsidRPr="004E7C9E" w:rsidRDefault="006745A9" w:rsidP="004E7C9E">
      <w:pPr>
        <w:spacing w:after="120"/>
        <w:jc w:val="both"/>
        <w:rPr>
          <w:rFonts w:ascii="Times New Roman" w:hAnsi="Times New Roman" w:cs="Times New Roman"/>
          <w:color w:val="000000" w:themeColor="text1"/>
        </w:rPr>
      </w:pPr>
      <w:r w:rsidRPr="004E7C9E">
        <w:rPr>
          <w:rFonts w:ascii="Times New Roman" w:hAnsi="Times New Roman" w:cs="Times New Roman"/>
          <w:color w:val="000000" w:themeColor="text1"/>
        </w:rPr>
        <w:t xml:space="preserve">Cet </w:t>
      </w:r>
      <w:r w:rsidR="00241E86" w:rsidRPr="004E7C9E">
        <w:rPr>
          <w:rFonts w:ascii="Times New Roman" w:hAnsi="Times New Roman" w:cs="Times New Roman"/>
          <w:color w:val="000000" w:themeColor="text1"/>
        </w:rPr>
        <w:t xml:space="preserve">appel à contribution s’adresse </w:t>
      </w:r>
      <w:r w:rsidRPr="004E7C9E">
        <w:rPr>
          <w:rFonts w:ascii="Times New Roman" w:hAnsi="Times New Roman" w:cs="Times New Roman"/>
          <w:color w:val="000000" w:themeColor="text1"/>
        </w:rPr>
        <w:t>à l’ensemble des doctorants inscrits auprès de l’école doctorale d</w:t>
      </w:r>
      <w:r w:rsidR="00461B1B">
        <w:rPr>
          <w:rFonts w:ascii="Times New Roman" w:hAnsi="Times New Roman" w:cs="Times New Roman"/>
          <w:color w:val="000000" w:themeColor="text1"/>
        </w:rPr>
        <w:t>e droit et de science politique</w:t>
      </w:r>
      <w:r w:rsidRPr="004E7C9E">
        <w:rPr>
          <w:rFonts w:ascii="Times New Roman" w:hAnsi="Times New Roman" w:cs="Times New Roman"/>
          <w:color w:val="000000" w:themeColor="text1"/>
        </w:rPr>
        <w:t>. Les candidats peuve</w:t>
      </w:r>
      <w:r w:rsidR="00461B1B">
        <w:rPr>
          <w:rFonts w:ascii="Times New Roman" w:hAnsi="Times New Roman" w:cs="Times New Roman"/>
          <w:color w:val="000000" w:themeColor="text1"/>
        </w:rPr>
        <w:t xml:space="preserve">nt, jusqu’à la date limite du 14 février 2018, </w:t>
      </w:r>
      <w:r w:rsidRPr="004E7C9E">
        <w:rPr>
          <w:rFonts w:ascii="Times New Roman" w:hAnsi="Times New Roman" w:cs="Times New Roman"/>
          <w:color w:val="000000" w:themeColor="text1"/>
        </w:rPr>
        <w:t>envoyer leur proposition de contribution</w:t>
      </w:r>
      <w:r w:rsidR="007205A3" w:rsidRPr="004E7C9E">
        <w:rPr>
          <w:rFonts w:ascii="Times New Roman" w:hAnsi="Times New Roman" w:cs="Times New Roman"/>
          <w:color w:val="000000" w:themeColor="text1"/>
        </w:rPr>
        <w:t xml:space="preserve"> à l’adresse courriel suivante : </w:t>
      </w:r>
      <w:hyperlink r:id="rId5" w:history="1">
        <w:r w:rsidR="001165BE" w:rsidRPr="00C91FA6">
          <w:rPr>
            <w:rStyle w:val="Lienhypertexte"/>
            <w:rFonts w:ascii="Times New Roman" w:hAnsi="Times New Roman" w:cs="Times New Roman"/>
          </w:rPr>
          <w:t>colloque-mémoire-droit-oubli@orange.fr</w:t>
        </w:r>
      </w:hyperlink>
      <w:r w:rsidR="007205A3" w:rsidRPr="004E7C9E">
        <w:rPr>
          <w:rFonts w:ascii="Times New Roman" w:hAnsi="Times New Roman" w:cs="Times New Roman"/>
          <w:color w:val="000000" w:themeColor="text1"/>
        </w:rPr>
        <w:t>. Elle</w:t>
      </w:r>
      <w:r w:rsidRPr="004E7C9E">
        <w:rPr>
          <w:rFonts w:ascii="Times New Roman" w:hAnsi="Times New Roman" w:cs="Times New Roman"/>
          <w:color w:val="000000" w:themeColor="text1"/>
        </w:rPr>
        <w:t xml:space="preserve"> sera soumise à l’examen d’un comité scientifique composé des organisateurs du colloque, du Directeur de l’école doctorale et d’un Professeur issu de chacun des centres de recherche de la faculté de droit. Les propositions devront se rattacher à une ou plusieurs des problématiques soulevées dans l’appel à contribution et ne devront pas excéder 1000 signes.</w:t>
      </w:r>
      <w:r w:rsidR="00E34262">
        <w:rPr>
          <w:rFonts w:ascii="Times New Roman" w:hAnsi="Times New Roman" w:cs="Times New Roman"/>
          <w:color w:val="000000" w:themeColor="text1"/>
        </w:rPr>
        <w:t xml:space="preserve"> </w:t>
      </w:r>
      <w:r w:rsidRPr="004E7C9E">
        <w:rPr>
          <w:rFonts w:ascii="Times New Roman" w:hAnsi="Times New Roman" w:cs="Times New Roman"/>
          <w:color w:val="000000" w:themeColor="text1"/>
        </w:rPr>
        <w:t xml:space="preserve">Afin de permettre à l’intervenant extérieur chargé de conclure le colloque, un résumé des contributions devra être </w:t>
      </w:r>
      <w:r w:rsidR="00374AF6">
        <w:rPr>
          <w:rFonts w:ascii="Times New Roman" w:hAnsi="Times New Roman" w:cs="Times New Roman"/>
          <w:color w:val="000000" w:themeColor="text1"/>
        </w:rPr>
        <w:t>ultérieuremen</w:t>
      </w:r>
      <w:r w:rsidR="00941634">
        <w:rPr>
          <w:rFonts w:ascii="Times New Roman" w:hAnsi="Times New Roman" w:cs="Times New Roman"/>
          <w:color w:val="000000" w:themeColor="text1"/>
        </w:rPr>
        <w:t>t envoyé au Comité scientifique.</w:t>
      </w:r>
      <w:r w:rsidR="00374AF6">
        <w:rPr>
          <w:rFonts w:ascii="Times New Roman" w:hAnsi="Times New Roman" w:cs="Times New Roman"/>
          <w:color w:val="000000" w:themeColor="text1"/>
        </w:rPr>
        <w:t xml:space="preserve"> </w:t>
      </w:r>
      <w:r w:rsidR="00941634">
        <w:rPr>
          <w:rFonts w:ascii="Times New Roman" w:hAnsi="Times New Roman" w:cs="Times New Roman"/>
          <w:color w:val="000000" w:themeColor="text1"/>
        </w:rPr>
        <w:t xml:space="preserve">Enfin </w:t>
      </w:r>
      <w:r w:rsidR="00374AF6">
        <w:rPr>
          <w:rFonts w:ascii="Times New Roman" w:hAnsi="Times New Roman" w:cs="Times New Roman"/>
          <w:color w:val="000000" w:themeColor="text1"/>
        </w:rPr>
        <w:t xml:space="preserve">une </w:t>
      </w:r>
      <w:r w:rsidR="003414B2">
        <w:rPr>
          <w:rFonts w:ascii="Times New Roman" w:hAnsi="Times New Roman" w:cs="Times New Roman"/>
          <w:color w:val="000000" w:themeColor="text1"/>
        </w:rPr>
        <w:t>version définitive</w:t>
      </w:r>
      <w:r w:rsidRPr="004E7C9E">
        <w:rPr>
          <w:rFonts w:ascii="Times New Roman" w:hAnsi="Times New Roman" w:cs="Times New Roman"/>
          <w:color w:val="000000" w:themeColor="text1"/>
        </w:rPr>
        <w:t xml:space="preserve"> en vue d’une publication sera demandée après la tenue du colloque.</w:t>
      </w:r>
    </w:p>
    <w:sectPr w:rsidR="00F40A53" w:rsidRPr="004E7C9E" w:rsidSect="006107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90"/>
    <w:rsid w:val="000C5077"/>
    <w:rsid w:val="000F308B"/>
    <w:rsid w:val="001165BE"/>
    <w:rsid w:val="00187FAC"/>
    <w:rsid w:val="0020268C"/>
    <w:rsid w:val="00230B9C"/>
    <w:rsid w:val="00241E86"/>
    <w:rsid w:val="00264890"/>
    <w:rsid w:val="003414B2"/>
    <w:rsid w:val="00342A6E"/>
    <w:rsid w:val="0036270A"/>
    <w:rsid w:val="00374AF6"/>
    <w:rsid w:val="003814E1"/>
    <w:rsid w:val="003A7544"/>
    <w:rsid w:val="00461B1B"/>
    <w:rsid w:val="00475561"/>
    <w:rsid w:val="0048352F"/>
    <w:rsid w:val="00483A7A"/>
    <w:rsid w:val="00492A87"/>
    <w:rsid w:val="004C16A2"/>
    <w:rsid w:val="004E7C9E"/>
    <w:rsid w:val="004F2C4A"/>
    <w:rsid w:val="004F7016"/>
    <w:rsid w:val="005800DB"/>
    <w:rsid w:val="005B31B2"/>
    <w:rsid w:val="0061075C"/>
    <w:rsid w:val="006373B5"/>
    <w:rsid w:val="00652175"/>
    <w:rsid w:val="00671627"/>
    <w:rsid w:val="006745A9"/>
    <w:rsid w:val="006E1EAA"/>
    <w:rsid w:val="007205A3"/>
    <w:rsid w:val="007440DE"/>
    <w:rsid w:val="0080099C"/>
    <w:rsid w:val="00825524"/>
    <w:rsid w:val="00864DAF"/>
    <w:rsid w:val="00941634"/>
    <w:rsid w:val="009632F5"/>
    <w:rsid w:val="0099151F"/>
    <w:rsid w:val="00A811F1"/>
    <w:rsid w:val="00AC4F65"/>
    <w:rsid w:val="00B57CAE"/>
    <w:rsid w:val="00C2726E"/>
    <w:rsid w:val="00C45EE7"/>
    <w:rsid w:val="00CD61B3"/>
    <w:rsid w:val="00D52C11"/>
    <w:rsid w:val="00E34262"/>
    <w:rsid w:val="00E427D4"/>
    <w:rsid w:val="00E7290C"/>
    <w:rsid w:val="00E80273"/>
    <w:rsid w:val="00F07815"/>
    <w:rsid w:val="00F141C9"/>
    <w:rsid w:val="00F40A53"/>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C3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20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olloque-m&#233;moire-droit-oubli@orange.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F9A1F8-09A9-1148-AF8E-23D46234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1636</Words>
  <Characters>9001</Characters>
  <Application>Microsoft Macintosh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Jérémy Maloir</dc:creator>
  <cp:keywords/>
  <dc:description/>
  <cp:lastModifiedBy>Jérémy Maloir</cp:lastModifiedBy>
  <cp:revision>2</cp:revision>
  <dcterms:created xsi:type="dcterms:W3CDTF">2017-12-20T14:26:00Z</dcterms:created>
  <dcterms:modified xsi:type="dcterms:W3CDTF">2017-12-20T14:26:00Z</dcterms:modified>
</cp:coreProperties>
</file>